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CD" w:rsidRPr="00DD74CD" w:rsidRDefault="00AD66E8" w:rsidP="00DD74CD">
      <w:pPr>
        <w:jc w:val="center"/>
        <w:rPr>
          <w:rFonts w:ascii="Open Sans" w:hAnsi="Open Sans" w:cs="Open Sans"/>
          <w:b/>
          <w:color w:val="FF0000"/>
          <w:sz w:val="40"/>
          <w:szCs w:val="40"/>
          <w:lang w:val="en-US"/>
        </w:rPr>
      </w:pPr>
      <w:r w:rsidRPr="00DD74CD">
        <w:rPr>
          <w:rFonts w:ascii="Open Sans" w:hAnsi="Open Sans" w:cs="Open Sans"/>
          <w:b/>
          <w:color w:val="FF0000"/>
          <w:sz w:val="40"/>
          <w:szCs w:val="40"/>
          <w:lang w:val="en-US"/>
        </w:rPr>
        <w:t>GST Update</w:t>
      </w:r>
    </w:p>
    <w:p w:rsidR="00DD74CD" w:rsidRPr="00DD74CD" w:rsidRDefault="00E528E5">
      <w:pPr>
        <w:rPr>
          <w:rFonts w:ascii="Open Sans" w:hAnsi="Open Sans" w:cs="Open Sans"/>
          <w:b/>
          <w:bCs/>
          <w:sz w:val="24"/>
          <w:szCs w:val="24"/>
        </w:rPr>
      </w:pPr>
      <w:r w:rsidRPr="00DD74CD">
        <w:rPr>
          <w:rFonts w:ascii="Open Sans" w:hAnsi="Open Sans" w:cs="Open Sans"/>
          <w:b/>
          <w:sz w:val="24"/>
          <w:szCs w:val="24"/>
          <w:lang w:val="en-US"/>
        </w:rPr>
        <w:t>speaker :</w:t>
      </w:r>
      <w:r w:rsidR="00DD74CD" w:rsidRPr="00DD74CD">
        <w:rPr>
          <w:rFonts w:ascii="Open Sans" w:hAnsi="Open Sans" w:cs="Open Sans"/>
          <w:b/>
          <w:sz w:val="24"/>
          <w:szCs w:val="24"/>
          <w:lang w:val="en-US"/>
        </w:rPr>
        <w:t xml:space="preserve"> </w:t>
      </w:r>
      <w:r w:rsidR="00022AF3" w:rsidRPr="00DD74CD">
        <w:rPr>
          <w:rFonts w:ascii="Open Sans" w:hAnsi="Open Sans" w:cs="Open Sans"/>
          <w:b/>
          <w:bCs/>
          <w:sz w:val="24"/>
          <w:szCs w:val="24"/>
        </w:rPr>
        <w:t xml:space="preserve">Mr. G.V. </w:t>
      </w:r>
      <w:proofErr w:type="spellStart"/>
      <w:r w:rsidR="00022AF3" w:rsidRPr="00DD74CD">
        <w:rPr>
          <w:rFonts w:ascii="Open Sans" w:hAnsi="Open Sans" w:cs="Open Sans"/>
          <w:b/>
          <w:bCs/>
          <w:sz w:val="24"/>
          <w:szCs w:val="24"/>
        </w:rPr>
        <w:t>Bilolikar</w:t>
      </w:r>
      <w:proofErr w:type="spellEnd"/>
      <w:r w:rsidR="00022AF3" w:rsidRPr="00DD74CD">
        <w:rPr>
          <w:rFonts w:ascii="Open Sans" w:hAnsi="Open Sans" w:cs="Open Sans"/>
          <w:b/>
          <w:bCs/>
          <w:sz w:val="24"/>
          <w:szCs w:val="24"/>
        </w:rPr>
        <w:t>, Jt. Comm. of Sales Tax, Mumbai accompanied by Dr.</w:t>
      </w:r>
      <w:r w:rsidR="00DD74CD" w:rsidRPr="00DD74CD">
        <w:rPr>
          <w:rFonts w:ascii="Open Sans" w:hAnsi="Open Sans" w:cs="Open Sans"/>
          <w:b/>
          <w:bCs/>
          <w:sz w:val="24"/>
          <w:szCs w:val="24"/>
        </w:rPr>
        <w:t xml:space="preserve"> </w:t>
      </w:r>
      <w:proofErr w:type="spellStart"/>
      <w:r w:rsidR="00022AF3" w:rsidRPr="00DD74CD">
        <w:rPr>
          <w:rFonts w:ascii="Open Sans" w:hAnsi="Open Sans" w:cs="Open Sans"/>
          <w:b/>
          <w:bCs/>
          <w:sz w:val="24"/>
          <w:szCs w:val="24"/>
        </w:rPr>
        <w:t>Mangesh</w:t>
      </w:r>
      <w:proofErr w:type="spellEnd"/>
      <w:r w:rsidR="00DD74CD" w:rsidRPr="00DD74CD">
        <w:rPr>
          <w:rFonts w:ascii="Open Sans" w:hAnsi="Open Sans" w:cs="Open Sans"/>
          <w:b/>
          <w:bCs/>
          <w:sz w:val="24"/>
          <w:szCs w:val="24"/>
        </w:rPr>
        <w:t xml:space="preserve"> </w:t>
      </w:r>
      <w:proofErr w:type="spellStart"/>
      <w:r w:rsidR="00022AF3" w:rsidRPr="00DD74CD">
        <w:rPr>
          <w:rFonts w:ascii="Open Sans" w:hAnsi="Open Sans" w:cs="Open Sans"/>
          <w:b/>
          <w:bCs/>
          <w:sz w:val="24"/>
          <w:szCs w:val="24"/>
        </w:rPr>
        <w:t>Gondavale</w:t>
      </w:r>
      <w:proofErr w:type="spellEnd"/>
      <w:r w:rsidR="00022AF3" w:rsidRPr="00DD74CD">
        <w:rPr>
          <w:rFonts w:ascii="Open Sans" w:hAnsi="Open Sans" w:cs="Open Sans"/>
          <w:b/>
          <w:bCs/>
          <w:sz w:val="24"/>
          <w:szCs w:val="24"/>
        </w:rPr>
        <w:t xml:space="preserve">, Deputy Commissioner of GST. </w:t>
      </w:r>
    </w:p>
    <w:p w:rsidR="00AD66E8" w:rsidRPr="00DD74CD" w:rsidRDefault="00022AF3">
      <w:pPr>
        <w:rPr>
          <w:rFonts w:ascii="Open Sans" w:hAnsi="Open Sans" w:cs="Open Sans"/>
          <w:b/>
          <w:sz w:val="24"/>
          <w:szCs w:val="24"/>
          <w:lang w:val="en-US"/>
        </w:rPr>
      </w:pPr>
      <w:proofErr w:type="gramStart"/>
      <w:r w:rsidRPr="00DD74CD">
        <w:rPr>
          <w:rFonts w:ascii="Open Sans" w:hAnsi="Open Sans" w:cs="Open Sans"/>
          <w:b/>
          <w:bCs/>
          <w:sz w:val="24"/>
          <w:szCs w:val="24"/>
        </w:rPr>
        <w:t>On 22</w:t>
      </w:r>
      <w:r w:rsidRPr="00DD74CD">
        <w:rPr>
          <w:rFonts w:ascii="Open Sans" w:hAnsi="Open Sans" w:cs="Open Sans"/>
          <w:b/>
          <w:bCs/>
          <w:sz w:val="24"/>
          <w:szCs w:val="24"/>
          <w:vertAlign w:val="superscript"/>
        </w:rPr>
        <w:t>nd</w:t>
      </w:r>
      <w:r w:rsidRPr="00DD74CD">
        <w:rPr>
          <w:rFonts w:ascii="Open Sans" w:hAnsi="Open Sans" w:cs="Open Sans"/>
          <w:b/>
          <w:bCs/>
          <w:sz w:val="24"/>
          <w:szCs w:val="24"/>
        </w:rPr>
        <w:t xml:space="preserve"> June,</w:t>
      </w:r>
      <w:r w:rsidR="00DD74CD" w:rsidRPr="00DD74CD">
        <w:rPr>
          <w:rFonts w:ascii="Open Sans" w:hAnsi="Open Sans" w:cs="Open Sans"/>
          <w:b/>
          <w:bCs/>
          <w:sz w:val="24"/>
          <w:szCs w:val="24"/>
        </w:rPr>
        <w:t xml:space="preserve"> </w:t>
      </w:r>
      <w:r w:rsidRPr="00DD74CD">
        <w:rPr>
          <w:rFonts w:ascii="Open Sans" w:hAnsi="Open Sans" w:cs="Open Sans"/>
          <w:b/>
          <w:bCs/>
          <w:sz w:val="24"/>
          <w:szCs w:val="24"/>
        </w:rPr>
        <w:t xml:space="preserve">2017, </w:t>
      </w:r>
      <w:proofErr w:type="spellStart"/>
      <w:r w:rsidRPr="00DD74CD">
        <w:rPr>
          <w:rFonts w:ascii="Open Sans" w:hAnsi="Open Sans" w:cs="Open Sans"/>
          <w:b/>
          <w:bCs/>
          <w:sz w:val="24"/>
          <w:szCs w:val="24"/>
        </w:rPr>
        <w:t>Avion</w:t>
      </w:r>
      <w:proofErr w:type="spellEnd"/>
      <w:r w:rsidRPr="00DD74CD">
        <w:rPr>
          <w:rFonts w:ascii="Open Sans" w:hAnsi="Open Sans" w:cs="Open Sans"/>
          <w:b/>
          <w:bCs/>
          <w:sz w:val="24"/>
          <w:szCs w:val="24"/>
        </w:rPr>
        <w:t xml:space="preserve"> Hotel, Vile </w:t>
      </w:r>
      <w:proofErr w:type="spellStart"/>
      <w:r w:rsidRPr="00DD74CD">
        <w:rPr>
          <w:rFonts w:ascii="Open Sans" w:hAnsi="Open Sans" w:cs="Open Sans"/>
          <w:b/>
          <w:bCs/>
          <w:sz w:val="24"/>
          <w:szCs w:val="24"/>
        </w:rPr>
        <w:t>Parle</w:t>
      </w:r>
      <w:proofErr w:type="spellEnd"/>
      <w:r w:rsidRPr="00DD74CD">
        <w:rPr>
          <w:rFonts w:ascii="Open Sans" w:hAnsi="Open Sans" w:cs="Open Sans"/>
          <w:b/>
          <w:bCs/>
          <w:sz w:val="24"/>
          <w:szCs w:val="24"/>
        </w:rPr>
        <w:t>.</w:t>
      </w:r>
      <w:proofErr w:type="gramEnd"/>
    </w:p>
    <w:p w:rsidR="00AD66E8" w:rsidRPr="00DD74CD" w:rsidRDefault="00AD66E8" w:rsidP="00AD66E8">
      <w:pPr>
        <w:pStyle w:val="NormalWeb"/>
        <w:shd w:val="clear" w:color="auto" w:fill="FFFFFF"/>
        <w:spacing w:before="0" w:beforeAutospacing="0" w:after="150" w:afterAutospacing="0"/>
        <w:rPr>
          <w:rFonts w:ascii="Open Sans" w:hAnsi="Open Sans" w:cs="Open Sans"/>
        </w:rPr>
      </w:pPr>
      <w:bookmarkStart w:id="0" w:name="_GoBack"/>
      <w:bookmarkEnd w:id="0"/>
      <w:r w:rsidRPr="00DD74CD">
        <w:rPr>
          <w:rFonts w:ascii="Open Sans" w:hAnsi="Open Sans" w:cs="Open Sans"/>
        </w:rPr>
        <w:t>A return is a document that a taxpayer is required to file as per the law with the tax administrative authorities. Under the </w:t>
      </w:r>
      <w:hyperlink r:id="rId5" w:history="1">
        <w:r w:rsidRPr="00DD74CD">
          <w:rPr>
            <w:rStyle w:val="Hyperlink"/>
            <w:rFonts w:ascii="Open Sans" w:hAnsi="Open Sans" w:cs="Open Sans"/>
            <w:color w:val="auto"/>
            <w:u w:val="none"/>
          </w:rPr>
          <w:t>GST</w:t>
        </w:r>
      </w:hyperlink>
      <w:r w:rsidRPr="00DD74CD">
        <w:rPr>
          <w:rFonts w:ascii="Open Sans" w:hAnsi="Open Sans" w:cs="Open Sans"/>
        </w:rPr>
        <w:t> law, a normal taxpayer will be required to furnish three returns monthly and one annual return. Similarly, there are separate returns for a taxpayer registered under the composition scheme, taxpayer registered as an Input Service Distributor, a person liable to deduct or collect the tax (TDS/TCS).</w:t>
      </w:r>
    </w:p>
    <w:p w:rsidR="00AD66E8" w:rsidRPr="00DD74CD" w:rsidRDefault="00AD66E8" w:rsidP="00AD66E8">
      <w:pPr>
        <w:pStyle w:val="NormalWeb"/>
        <w:shd w:val="clear" w:color="auto" w:fill="FFFFFF"/>
        <w:spacing w:before="0" w:beforeAutospacing="0" w:after="150" w:afterAutospacing="0"/>
        <w:rPr>
          <w:rFonts w:ascii="Open Sans" w:hAnsi="Open Sans" w:cs="Open Sans"/>
          <w:noProof/>
        </w:rPr>
      </w:pPr>
    </w:p>
    <w:p w:rsidR="00F713D5" w:rsidRPr="00DD74CD" w:rsidRDefault="00F713D5" w:rsidP="00DD74CD">
      <w:pPr>
        <w:shd w:val="clear" w:color="auto" w:fill="FFFFFF"/>
        <w:spacing w:before="300" w:after="150" w:line="240" w:lineRule="auto"/>
        <w:ind w:left="-142"/>
        <w:outlineLvl w:val="1"/>
        <w:rPr>
          <w:rFonts w:ascii="Open Sans" w:eastAsia="Times New Roman" w:hAnsi="Open Sans" w:cs="Open Sans"/>
          <w:sz w:val="36"/>
          <w:szCs w:val="36"/>
          <w:lang w:eastAsia="en-GB"/>
        </w:rPr>
      </w:pPr>
      <w:r w:rsidRPr="00DD74CD">
        <w:rPr>
          <w:rFonts w:ascii="Open Sans" w:eastAsia="Times New Roman" w:hAnsi="Open Sans" w:cs="Open Sans"/>
          <w:b/>
          <w:bCs/>
          <w:sz w:val="36"/>
          <w:szCs w:val="36"/>
          <w:lang w:eastAsia="en-GB"/>
        </w:rPr>
        <w:t>What Are the Returns Applicable Under </w:t>
      </w:r>
      <w:hyperlink r:id="rId6" w:history="1">
        <w:r w:rsidRPr="00DD74CD">
          <w:rPr>
            <w:rFonts w:ascii="Open Sans" w:eastAsia="Times New Roman" w:hAnsi="Open Sans" w:cs="Open Sans"/>
            <w:b/>
            <w:bCs/>
            <w:sz w:val="36"/>
            <w:szCs w:val="36"/>
            <w:lang w:eastAsia="en-GB"/>
          </w:rPr>
          <w:t>GST</w:t>
        </w:r>
      </w:hyperlink>
      <w:r w:rsidRPr="00DD74CD">
        <w:rPr>
          <w:rFonts w:ascii="Open Sans" w:eastAsia="Times New Roman" w:hAnsi="Open Sans" w:cs="Open Sans"/>
          <w:b/>
          <w:bCs/>
          <w:sz w:val="36"/>
          <w:szCs w:val="36"/>
          <w:lang w:eastAsia="en-GB"/>
        </w:rPr>
        <w:t>?</w:t>
      </w:r>
    </w:p>
    <w:p w:rsidR="00F713D5" w:rsidRDefault="00F713D5" w:rsidP="00F713D5">
      <w:pPr>
        <w:shd w:val="clear" w:color="auto" w:fill="FFFFFF"/>
        <w:spacing w:after="150" w:line="240" w:lineRule="auto"/>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 the table below, we have provided details of all the returns which are required to be filed under the GST Law.</w:t>
      </w:r>
    </w:p>
    <w:p w:rsidR="00DD74CD" w:rsidRPr="00DD74CD" w:rsidRDefault="00DD74CD" w:rsidP="00F713D5">
      <w:pPr>
        <w:shd w:val="clear" w:color="auto" w:fill="FFFFFF"/>
        <w:spacing w:after="150" w:line="240" w:lineRule="auto"/>
        <w:rPr>
          <w:rFonts w:ascii="Open Sans" w:eastAsia="Times New Roman" w:hAnsi="Open Sans" w:cs="Open Sans"/>
          <w:sz w:val="24"/>
          <w:szCs w:val="24"/>
          <w:lang w:eastAsia="en-GB"/>
        </w:rPr>
      </w:pPr>
    </w:p>
    <w:tbl>
      <w:tblPr>
        <w:tblW w:w="1012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821"/>
        <w:gridCol w:w="3402"/>
        <w:gridCol w:w="2552"/>
        <w:gridCol w:w="2350"/>
      </w:tblGrid>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b/>
                <w:bCs/>
                <w:lang w:eastAsia="en-GB"/>
              </w:rPr>
              <w:t>Return Form</w:t>
            </w:r>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b/>
                <w:bCs/>
                <w:lang w:eastAsia="en-GB"/>
              </w:rPr>
              <w:t>What to file?</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b/>
                <w:bCs/>
                <w:lang w:eastAsia="en-GB"/>
              </w:rPr>
              <w:t>By Whom?</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b/>
                <w:bCs/>
                <w:lang w:eastAsia="en-GB"/>
              </w:rPr>
              <w:t>By When?</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7" w:history="1">
              <w:r w:rsidR="00F713D5" w:rsidRPr="00DD74CD">
                <w:rPr>
                  <w:rFonts w:ascii="Open Sans" w:eastAsia="Times New Roman" w:hAnsi="Open Sans" w:cs="Open Sans"/>
                  <w:lang w:eastAsia="en-GB"/>
                </w:rPr>
                <w:t>GSTR-1</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Details of outward supplies of taxable goods and/or services effected</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Registered Taxable Supplier</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10th of the next month</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8" w:history="1">
              <w:r w:rsidR="00F713D5" w:rsidRPr="00DD74CD">
                <w:rPr>
                  <w:rFonts w:ascii="Open Sans" w:eastAsia="Times New Roman" w:hAnsi="Open Sans" w:cs="Open Sans"/>
                  <w:lang w:eastAsia="en-GB"/>
                </w:rPr>
                <w:t>GSTR-2</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Details of inward supplies of taxable goods and/or services effected claiming input tax credit.</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Registered Taxable Recipient</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15th of the next month</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9" w:history="1">
              <w:r w:rsidR="00F713D5" w:rsidRPr="00DD74CD">
                <w:rPr>
                  <w:rFonts w:ascii="Open Sans" w:eastAsia="Times New Roman" w:hAnsi="Open Sans" w:cs="Open Sans"/>
                  <w:lang w:eastAsia="en-GB"/>
                </w:rPr>
                <w:t>GSTR-3</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Monthly return on the basis of finalization of details of outward supplies and inward supplies along with the payment of amount of tax.</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Registered Taxable Person</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20th of the next month</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0" w:history="1">
              <w:r w:rsidR="00F713D5" w:rsidRPr="00DD74CD">
                <w:rPr>
                  <w:rFonts w:ascii="Open Sans" w:eastAsia="Times New Roman" w:hAnsi="Open Sans" w:cs="Open Sans"/>
                  <w:lang w:eastAsia="en-GB"/>
                </w:rPr>
                <w:t>GSTR-4</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Quarterly return for compounding taxable person.</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Composition Supplier</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18th of the month succeeding quarter</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1" w:history="1">
              <w:r w:rsidR="00F713D5" w:rsidRPr="00DD74CD">
                <w:rPr>
                  <w:rFonts w:ascii="Open Sans" w:eastAsia="Times New Roman" w:hAnsi="Open Sans" w:cs="Open Sans"/>
                  <w:lang w:eastAsia="en-GB"/>
                </w:rPr>
                <w:t>GSTR-5</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Return for Non-Resident foreign taxable person</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Non-Resident Taxable Person</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20th of the next month</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2" w:history="1">
              <w:r w:rsidR="00F713D5" w:rsidRPr="00DD74CD">
                <w:rPr>
                  <w:rFonts w:ascii="Open Sans" w:eastAsia="Times New Roman" w:hAnsi="Open Sans" w:cs="Open Sans"/>
                  <w:lang w:eastAsia="en-GB"/>
                </w:rPr>
                <w:t>GSTR-6</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Return for Input Service Distributor</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Input Service Distributor</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13th of the next month</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3" w:history="1">
              <w:r w:rsidR="00F713D5" w:rsidRPr="00DD74CD">
                <w:rPr>
                  <w:rFonts w:ascii="Open Sans" w:eastAsia="Times New Roman" w:hAnsi="Open Sans" w:cs="Open Sans"/>
                  <w:lang w:eastAsia="en-GB"/>
                </w:rPr>
                <w:t>GSTR-7</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Return for authorities deducting tax at source.</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 xml:space="preserve">Tax </w:t>
            </w:r>
            <w:proofErr w:type="spellStart"/>
            <w:r w:rsidRPr="00DD74CD">
              <w:rPr>
                <w:rFonts w:ascii="Open Sans" w:eastAsia="Times New Roman" w:hAnsi="Open Sans" w:cs="Open Sans"/>
                <w:lang w:eastAsia="en-GB"/>
              </w:rPr>
              <w:t>Deductor</w:t>
            </w:r>
            <w:proofErr w:type="spellEnd"/>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10th of the next month</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4" w:history="1">
              <w:r w:rsidR="00F713D5" w:rsidRPr="00DD74CD">
                <w:rPr>
                  <w:rFonts w:ascii="Open Sans" w:eastAsia="Times New Roman" w:hAnsi="Open Sans" w:cs="Open Sans"/>
                  <w:lang w:eastAsia="en-GB"/>
                </w:rPr>
                <w:t>GSTR-8</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Details of supplies effected through e-commerce operator and the amount of tax collected</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E-commerce Operator/Tax Collector</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10th of the next month</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5" w:history="1">
              <w:r w:rsidR="00F713D5" w:rsidRPr="00DD74CD">
                <w:rPr>
                  <w:rFonts w:ascii="Open Sans" w:eastAsia="Times New Roman" w:hAnsi="Open Sans" w:cs="Open Sans"/>
                  <w:lang w:eastAsia="en-GB"/>
                </w:rPr>
                <w:t>GSTR-9</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Annual Return</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Registered Taxable Person</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31st December of next financial year</w:t>
            </w:r>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6" w:history="1">
              <w:r w:rsidR="00F713D5" w:rsidRPr="00DD74CD">
                <w:rPr>
                  <w:rFonts w:ascii="Open Sans" w:eastAsia="Times New Roman" w:hAnsi="Open Sans" w:cs="Open Sans"/>
                  <w:lang w:eastAsia="en-GB"/>
                </w:rPr>
                <w:t>GSTR-10</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Final Return</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Taxable person whose registration has been surrendered or cancelled.</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 xml:space="preserve">Within three months of the date of cancellation or date of cancellation order, whichever is </w:t>
            </w:r>
            <w:proofErr w:type="gramStart"/>
            <w:r w:rsidRPr="00DD74CD">
              <w:rPr>
                <w:rFonts w:ascii="Open Sans" w:eastAsia="Times New Roman" w:hAnsi="Open Sans" w:cs="Open Sans"/>
                <w:lang w:eastAsia="en-GB"/>
              </w:rPr>
              <w:t>later.</w:t>
            </w:r>
            <w:proofErr w:type="gramEnd"/>
          </w:p>
        </w:tc>
      </w:tr>
      <w:tr w:rsidR="00E528E5" w:rsidRPr="00DD74CD" w:rsidTr="00DD74CD">
        <w:tc>
          <w:tcPr>
            <w:tcW w:w="18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C4FC5" w:rsidP="00F713D5">
            <w:pPr>
              <w:spacing w:after="300" w:line="240" w:lineRule="auto"/>
              <w:rPr>
                <w:rFonts w:ascii="Open Sans" w:eastAsia="Times New Roman" w:hAnsi="Open Sans" w:cs="Open Sans"/>
                <w:lang w:eastAsia="en-GB"/>
              </w:rPr>
            </w:pPr>
            <w:hyperlink r:id="rId17" w:history="1">
              <w:r w:rsidR="00F713D5" w:rsidRPr="00DD74CD">
                <w:rPr>
                  <w:rFonts w:ascii="Open Sans" w:eastAsia="Times New Roman" w:hAnsi="Open Sans" w:cs="Open Sans"/>
                  <w:lang w:eastAsia="en-GB"/>
                </w:rPr>
                <w:t>GSTR-11</w:t>
              </w:r>
            </w:hyperlink>
          </w:p>
        </w:tc>
        <w:tc>
          <w:tcPr>
            <w:tcW w:w="34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Details of inward supplies to be furnished by a person having UIN</w:t>
            </w:r>
          </w:p>
        </w:tc>
        <w:tc>
          <w:tcPr>
            <w:tcW w:w="255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Person having UIN and claiming refund</w:t>
            </w:r>
          </w:p>
        </w:tc>
        <w:tc>
          <w:tcPr>
            <w:tcW w:w="2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713D5" w:rsidRPr="00DD74CD" w:rsidRDefault="00F713D5" w:rsidP="00F713D5">
            <w:pPr>
              <w:spacing w:after="300" w:line="240" w:lineRule="auto"/>
              <w:rPr>
                <w:rFonts w:ascii="Open Sans" w:eastAsia="Times New Roman" w:hAnsi="Open Sans" w:cs="Open Sans"/>
                <w:lang w:eastAsia="en-GB"/>
              </w:rPr>
            </w:pPr>
            <w:r w:rsidRPr="00DD74CD">
              <w:rPr>
                <w:rFonts w:ascii="Open Sans" w:eastAsia="Times New Roman" w:hAnsi="Open Sans" w:cs="Open Sans"/>
                <w:lang w:eastAsia="en-GB"/>
              </w:rPr>
              <w:t>28th of the month following the month for which statement is filed</w:t>
            </w:r>
          </w:p>
        </w:tc>
      </w:tr>
    </w:tbl>
    <w:p w:rsidR="00F713D5" w:rsidRPr="00DD74CD" w:rsidRDefault="00F713D5" w:rsidP="00F713D5">
      <w:pPr>
        <w:shd w:val="clear" w:color="auto" w:fill="FFFFFF"/>
        <w:spacing w:after="150" w:line="240" w:lineRule="auto"/>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 </w:t>
      </w:r>
    </w:p>
    <w:p w:rsidR="00F713D5" w:rsidRPr="00DD74CD" w:rsidRDefault="009977FF" w:rsidP="00DD74CD">
      <w:pPr>
        <w:pStyle w:val="NormalWeb"/>
        <w:shd w:val="clear" w:color="auto" w:fill="FFFFFF"/>
        <w:spacing w:before="0" w:beforeAutospacing="0" w:after="150" w:afterAutospacing="0"/>
        <w:ind w:left="-142" w:right="-897"/>
        <w:rPr>
          <w:rFonts w:ascii="Open Sans" w:hAnsi="Open Sans" w:cs="Open Sans"/>
        </w:rPr>
      </w:pPr>
      <w:r w:rsidRPr="00DD74CD">
        <w:rPr>
          <w:rFonts w:ascii="Open Sans" w:hAnsi="Open Sans" w:cs="Open Sans"/>
          <w:shd w:val="clear" w:color="auto" w:fill="FFFFFF"/>
        </w:rPr>
        <w:t>All these returns are required to be filed digitally online through a common portal to be provided by </w:t>
      </w:r>
      <w:hyperlink r:id="rId18" w:tgtFrame="_blank" w:history="1">
        <w:r w:rsidRPr="00DD74CD">
          <w:rPr>
            <w:rStyle w:val="Hyperlink"/>
            <w:rFonts w:ascii="Open Sans" w:hAnsi="Open Sans" w:cs="Open Sans"/>
            <w:color w:val="auto"/>
            <w:shd w:val="clear" w:color="auto" w:fill="FFFFFF"/>
          </w:rPr>
          <w:t>GSTN</w:t>
        </w:r>
      </w:hyperlink>
      <w:r w:rsidRPr="00DD74CD">
        <w:rPr>
          <w:rFonts w:ascii="Open Sans" w:hAnsi="Open Sans" w:cs="Open Sans"/>
          <w:shd w:val="clear" w:color="auto" w:fill="FFFFFF"/>
        </w:rPr>
        <w:t>, non-government, private limited company promoted by the central and state governments with the specific mandate to build the IT infrastructure and the services required for implementing Goods and Services Tax (GST).</w:t>
      </w:r>
    </w:p>
    <w:p w:rsidR="002D4096" w:rsidRPr="00DD74CD" w:rsidRDefault="002D4096">
      <w:pPr>
        <w:rPr>
          <w:rFonts w:ascii="Open Sans" w:hAnsi="Open Sans" w:cs="Open Sans"/>
          <w:lang w:val="en-US"/>
        </w:rPr>
      </w:pPr>
    </w:p>
    <w:p w:rsidR="009977FF" w:rsidRPr="00DD74CD" w:rsidRDefault="009977FF" w:rsidP="009977FF">
      <w:pPr>
        <w:pStyle w:val="Heading3"/>
        <w:shd w:val="clear" w:color="auto" w:fill="FFFFFF"/>
        <w:spacing w:before="0" w:beforeAutospacing="0" w:after="150" w:afterAutospacing="0" w:line="450" w:lineRule="atLeast"/>
        <w:rPr>
          <w:rFonts w:ascii="Open Sans" w:hAnsi="Open Sans" w:cs="Open Sans"/>
          <w:b w:val="0"/>
          <w:bCs w:val="0"/>
          <w:sz w:val="36"/>
          <w:szCs w:val="36"/>
        </w:rPr>
      </w:pPr>
      <w:r w:rsidRPr="00DD74CD">
        <w:rPr>
          <w:rFonts w:ascii="Open Sans" w:hAnsi="Open Sans" w:cs="Open Sans"/>
          <w:b w:val="0"/>
          <w:bCs w:val="0"/>
          <w:sz w:val="36"/>
          <w:szCs w:val="36"/>
        </w:rPr>
        <w:lastRenderedPageBreak/>
        <w:t>Understanding the GST Returns</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For properly updating the invoices, Indian taxpayers and businesses have to file certain returns with the Government. These returns have to be mandatorily filed as any non-compliance towards the same may lead to disallowance of input tax credit, apart from attracting penalties and interests, etc. Proper filing of information and passing the same in the returns is a mandatory process for smooth flow of credit to the last recipient.</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The returns have been designed so that all transactions are in sync with each other and that no transaction is left unattended between the buyer and the seller. The tale starts from GSTR-1. All the data is stored in GSTN, which can be accessed by the users/taxpayers anytime online.</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Pr="00DD74CD" w:rsidRDefault="00FC4FC5" w:rsidP="009977FF">
      <w:pPr>
        <w:pStyle w:val="Heading3"/>
        <w:shd w:val="clear" w:color="auto" w:fill="FFFFFF"/>
        <w:spacing w:before="0" w:beforeAutospacing="0" w:after="0" w:afterAutospacing="0" w:line="450" w:lineRule="atLeast"/>
        <w:rPr>
          <w:rFonts w:ascii="Open Sans" w:hAnsi="Open Sans" w:cs="Open Sans"/>
          <w:b w:val="0"/>
          <w:bCs w:val="0"/>
          <w:sz w:val="36"/>
          <w:szCs w:val="36"/>
        </w:rPr>
      </w:pPr>
      <w:hyperlink r:id="rId19" w:history="1">
        <w:r w:rsidR="009977FF" w:rsidRPr="00DD74CD">
          <w:rPr>
            <w:rStyle w:val="Hyperlink"/>
            <w:rFonts w:ascii="Open Sans" w:hAnsi="Open Sans" w:cs="Open Sans"/>
            <w:b w:val="0"/>
            <w:bCs w:val="0"/>
            <w:color w:val="auto"/>
            <w:sz w:val="36"/>
            <w:szCs w:val="36"/>
            <w:u w:val="none"/>
          </w:rPr>
          <w:t>Types of GST Returns</w:t>
        </w:r>
      </w:hyperlink>
      <w:r w:rsidR="009977FF" w:rsidRPr="00DD74CD">
        <w:rPr>
          <w:rFonts w:ascii="Open Sans" w:hAnsi="Open Sans" w:cs="Open Sans"/>
          <w:b w:val="0"/>
          <w:bCs w:val="0"/>
          <w:sz w:val="36"/>
          <w:szCs w:val="36"/>
        </w:rPr>
        <w:t> to be filed by normal taxpayers</w:t>
      </w:r>
    </w:p>
    <w:p w:rsidR="00647FEF" w:rsidRPr="00DD74CD" w:rsidRDefault="00647FEF" w:rsidP="009977FF">
      <w:pPr>
        <w:pStyle w:val="Heading3"/>
        <w:shd w:val="clear" w:color="auto" w:fill="FFFFFF"/>
        <w:spacing w:before="0" w:beforeAutospacing="0" w:after="0" w:afterAutospacing="0" w:line="450" w:lineRule="atLeast"/>
        <w:rPr>
          <w:rFonts w:ascii="Open Sans" w:hAnsi="Open Sans" w:cs="Open Sans"/>
          <w:b w:val="0"/>
          <w:bCs w:val="0"/>
          <w:sz w:val="36"/>
          <w:szCs w:val="36"/>
          <w:u w:val="single"/>
        </w:rPr>
      </w:pP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w:t>
      </w:r>
      <w:r w:rsidR="00DD74CD" w:rsidRPr="00DD74CD">
        <w:rPr>
          <w:rFonts w:ascii="Open Sans" w:hAnsi="Open Sans" w:cs="Open Sans"/>
          <w:bCs w:val="0"/>
          <w:i w:val="0"/>
          <w:color w:val="auto"/>
          <w:sz w:val="28"/>
          <w:szCs w:val="28"/>
        </w:rPr>
        <w:t xml:space="preserve"> </w:t>
      </w:r>
      <w:r w:rsidRPr="00DD74CD">
        <w:rPr>
          <w:rFonts w:ascii="Open Sans" w:hAnsi="Open Sans" w:cs="Open Sans"/>
          <w:bCs w:val="0"/>
          <w:i w:val="0"/>
          <w:color w:val="auto"/>
          <w:sz w:val="28"/>
          <w:szCs w:val="28"/>
        </w:rPr>
        <w:t>-1</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The taxpayer records all his outward supplies of goods and services in details in this form. This has to be mandatorily done by the </w:t>
      </w:r>
      <w:r w:rsidRPr="00DD74CD">
        <w:rPr>
          <w:rFonts w:ascii="Open Sans" w:hAnsi="Open Sans" w:cs="Open Sans"/>
          <w:b/>
          <w:bCs/>
        </w:rPr>
        <w:t>10th of the next month</w:t>
      </w:r>
      <w:r w:rsidRPr="00DD74CD">
        <w:rPr>
          <w:rFonts w:ascii="Open Sans" w:hAnsi="Open Sans" w:cs="Open Sans"/>
        </w:rPr>
        <w:t>. This will form the basis of all future flow and match for credit reconciliations. GSTR-1 is a detailed form containing 13 different heads. The critical headings are:</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GSTIN of the Taxable Person – Auto populated result</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Name – Auto populated result</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Gross Turnover in Last Financial Year – This has to be filed only once. From next year onwards, this field will be auto populated</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The Period for which the return is being filed – Month &amp; Year shall be available as a drop down for selection</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Taxable outward supplies – Here, IGST shall be filled only in the case of inter-state movement whereas CGST and SGST shall be filled in case of intra-state movement. Moreover, details of any exempted sales or sale at nil rate of tax shall also be mentioned here</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Outward Supplies to end customer, where the value exceeds Rs. 2.5 lakhs – Other than mentioned, all such supplies are optional in nature</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Any other supplies not covered in above 2 sections</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Debit Notes or Credit Notes Details</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Amendments to the details of any outward supplies of previous periods – This does not covers any changes by way of debit/credit notes</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Exempted, Nil-Rated and Non-GST Supplies – This is a Non-GST section. When the details of exempted sales or nil-rated sales have already been mentioned anywhere above, then only Non-GST shall be filled up here</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lastRenderedPageBreak/>
        <w:t>Export Sales</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Tax Liability arising out of advance receipts</w:t>
      </w:r>
    </w:p>
    <w:p w:rsidR="009977FF" w:rsidRPr="00DD74CD" w:rsidRDefault="009977FF" w:rsidP="009977FF">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Tax Paid</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GSTR-2A</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It is available on the </w:t>
      </w:r>
      <w:r w:rsidRPr="00DD74CD">
        <w:rPr>
          <w:rFonts w:ascii="Open Sans" w:hAnsi="Open Sans" w:cs="Open Sans"/>
          <w:b/>
          <w:bCs/>
        </w:rPr>
        <w:t>11th of the next month</w:t>
      </w:r>
      <w:r w:rsidRPr="00DD74CD">
        <w:rPr>
          <w:rFonts w:ascii="Open Sans" w:hAnsi="Open Sans" w:cs="Open Sans"/>
        </w:rPr>
        <w:t> for the recipients to see and validate the information therein. Recipients have time between 11th – 15th of the next month to change any information, delete or add, based on their books of accounts.</w:t>
      </w:r>
    </w:p>
    <w:p w:rsidR="009977FF" w:rsidRPr="00DD74CD" w:rsidRDefault="009977FF" w:rsidP="00913EE6">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GSTR-2</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This form is the culmination of all inward supplies of goods and services as approved by the recipient of the services. The due date is 15th of the next month. It is auto-populated with the details of GSTR-2A. GSTR-2 shall include the following heads: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GSTIN of the Taxable Person – Auto populated result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Name – Auto populated result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The Period for which the return is being filed – Month &amp; Year shall be available as a drop down for selection</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Details of all inward supplies – Auto populated with the details of GSTR-1. The taxable person can make any further addition or changes to the invoice here</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Changes to the inward supplies made for any previous period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Import of Goods – Imports are treated as Inter-state supply and IGST shall be applicable on the same</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Import of Goods in earlier periods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Services received from a person outside India (Import of Services)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Import of Services in earlier periods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Debit notes or Credit notes Details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Amendments made to Debit or Credit notes of previous periods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Inward supplies emanating from Unregistered persons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Credits received from an Input Service Distributor – Auto populated from details of GSTR-6</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TDS credit from specified persons – Auto populated from details of GSTR-7</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TCS credit from E-Commerce operators – Auto populated from details of GSTR-8</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Input Tax Credit remaining to be taken against an invoice, from which initially a partial invoice was taken</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Reverse Charge tax liability</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Amendment to such reverse charge tax liability</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Tax Paid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lastRenderedPageBreak/>
        <w:t>Input Tax Credit Reversals – A dropdown containing reasons for such reversals shall be made available</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Amendments to such Input Tax Credit Reversals</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GSTR-1A</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The form shall be auto-populated after filing of GSTR-2 on the </w:t>
      </w:r>
      <w:r w:rsidRPr="00DD74CD">
        <w:rPr>
          <w:rFonts w:ascii="Open Sans" w:eastAsia="Times New Roman" w:hAnsi="Open Sans" w:cs="Open Sans"/>
          <w:b/>
          <w:bCs/>
          <w:sz w:val="24"/>
          <w:szCs w:val="24"/>
          <w:lang w:eastAsia="en-GB"/>
        </w:rPr>
        <w:t>15th of the next month</w:t>
      </w:r>
      <w:r w:rsidRPr="00DD74CD">
        <w:rPr>
          <w:rFonts w:ascii="Open Sans" w:eastAsia="Times New Roman" w:hAnsi="Open Sans" w:cs="Open Sans"/>
          <w:sz w:val="24"/>
          <w:szCs w:val="24"/>
          <w:lang w:eastAsia="en-GB"/>
        </w:rPr>
        <w:t>, having all the correct or changed information. The supplier shall have the choice to accept or reject the changes made by the recipient. Following such acceptance, the GSTR-1 shall be revised to such extent.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GSTR-3</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This form is auto prepared by </w:t>
      </w:r>
      <w:r w:rsidRPr="00DD74CD">
        <w:rPr>
          <w:rFonts w:ascii="Open Sans" w:eastAsia="Times New Roman" w:hAnsi="Open Sans" w:cs="Open Sans"/>
          <w:b/>
          <w:bCs/>
          <w:sz w:val="24"/>
          <w:szCs w:val="24"/>
          <w:lang w:eastAsia="en-GB"/>
        </w:rPr>
        <w:t>20th of the next month</w:t>
      </w:r>
      <w:r w:rsidRPr="00DD74CD">
        <w:rPr>
          <w:rFonts w:ascii="Open Sans" w:eastAsia="Times New Roman" w:hAnsi="Open Sans" w:cs="Open Sans"/>
          <w:sz w:val="24"/>
          <w:szCs w:val="24"/>
          <w:lang w:eastAsia="en-GB"/>
        </w:rPr>
        <w:t>. It will have the details of all outward as well as inward supplies of goods and services as furnished in GSTR-1 and GSTR-2. After considering both the details, GSTN will determine your input tax credit availability or the amount of tax payable.</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It will have the following details: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GSTIN of the Taxable Person – Auto populated result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Name – Auto populated result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Address of the person – Auto populated result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The Period for which the return is being filed – Month &amp; Year shall be available as a drop down for selection</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Total turnover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Export Turnover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Taxable Turnover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Non-GST Turnover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Nil Rated or Exempted Turnover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Total Turnover (Sum of 1-4)</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Details of outward supplies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Inter-state supply to end customers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Intra-state supply to end customers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Inter-state supply to registered persons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Intra-state supply to registered persons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Exports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Amendments to Sales Invoices, Debit Notes and Credit Notes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Tax liability on such outward supplies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Details of inward supplies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Inter-State received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Intra-State received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Imports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Amendments to Purchase invoices, Debit Notes and Credit Notes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Tax liability on such inward supplies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lastRenderedPageBreak/>
        <w:t>Reversals of Input Tax Credit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Total tax liability for the period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TDS received for the period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TCS received for the period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ITC for the period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Apart from the above details, a </w:t>
      </w:r>
      <w:r w:rsidRPr="00DD74CD">
        <w:rPr>
          <w:rFonts w:ascii="Open Sans" w:eastAsia="Times New Roman" w:hAnsi="Open Sans" w:cs="Open Sans"/>
          <w:b/>
          <w:bCs/>
          <w:sz w:val="24"/>
          <w:szCs w:val="24"/>
          <w:lang w:eastAsia="en-GB"/>
        </w:rPr>
        <w:t>Part B</w:t>
      </w:r>
      <w:r w:rsidRPr="00DD74CD">
        <w:rPr>
          <w:rFonts w:ascii="Open Sans" w:eastAsia="Times New Roman" w:hAnsi="Open Sans" w:cs="Open Sans"/>
          <w:sz w:val="24"/>
          <w:szCs w:val="24"/>
          <w:lang w:eastAsia="en-GB"/>
        </w:rPr>
        <w:t> has to be filed containing the details of,</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Any taxes, interests, penalties or fees paid during the period</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Any refunds claimed during the period w.r.t. cash ledger</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GSTR-9</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This is the annual return, which the taxpayer has to file by</w:t>
      </w:r>
      <w:r w:rsidRPr="00DD74CD">
        <w:rPr>
          <w:rFonts w:ascii="Open Sans" w:eastAsia="Times New Roman" w:hAnsi="Open Sans" w:cs="Open Sans"/>
          <w:b/>
          <w:bCs/>
          <w:sz w:val="24"/>
          <w:szCs w:val="24"/>
          <w:lang w:eastAsia="en-GB"/>
        </w:rPr>
        <w:t> 31st December</w:t>
      </w:r>
      <w:r w:rsidRPr="00DD74CD">
        <w:rPr>
          <w:rFonts w:ascii="Open Sans" w:eastAsia="Times New Roman" w:hAnsi="Open Sans" w:cs="Open Sans"/>
          <w:sz w:val="24"/>
          <w:szCs w:val="24"/>
          <w:lang w:eastAsia="en-GB"/>
        </w:rPr>
        <w:t> of the coming financial year. It is nothing but the accumulation of all 12 monthly GSTR-3 of the taxpayer. It would also include the amount of tax paid during the year, including details of exports or imports.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Apart from the above forms, the Government shall serve those taxpayers who fail to furnish the returns on time, notice in Form </w:t>
      </w:r>
      <w:r w:rsidRPr="00DD74CD">
        <w:rPr>
          <w:rFonts w:ascii="Open Sans" w:eastAsia="Times New Roman" w:hAnsi="Open Sans" w:cs="Open Sans"/>
          <w:b/>
          <w:bCs/>
          <w:sz w:val="24"/>
          <w:szCs w:val="24"/>
          <w:lang w:eastAsia="en-GB"/>
        </w:rPr>
        <w:t>GSTR-3A</w:t>
      </w:r>
      <w:r w:rsidRPr="00DD74CD">
        <w:rPr>
          <w:rFonts w:ascii="Open Sans" w:eastAsia="Times New Roman" w:hAnsi="Open Sans" w:cs="Open Sans"/>
          <w:sz w:val="24"/>
          <w:szCs w:val="24"/>
          <w:lang w:eastAsia="en-GB"/>
        </w:rPr>
        <w: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After the GSTR-3 is fully accepted for the month, then final input tax credit shall be communicated through form </w:t>
      </w:r>
      <w:r w:rsidRPr="00DD74CD">
        <w:rPr>
          <w:rFonts w:ascii="Open Sans" w:eastAsia="Times New Roman" w:hAnsi="Open Sans" w:cs="Open Sans"/>
          <w:b/>
          <w:bCs/>
          <w:sz w:val="24"/>
          <w:szCs w:val="24"/>
          <w:lang w:eastAsia="en-GB"/>
        </w:rPr>
        <w:t>GST ITC-1. </w:t>
      </w:r>
      <w:r w:rsidRPr="00DD74CD">
        <w:rPr>
          <w:rFonts w:ascii="Open Sans" w:eastAsia="Times New Roman" w:hAnsi="Open Sans" w:cs="Open Sans"/>
          <w:sz w:val="24"/>
          <w:szCs w:val="24"/>
          <w:lang w:eastAsia="en-GB"/>
        </w:rPr>
        <w:t>The details of ITC-1 has to be confirmed in due time to get the credit for that month. If the same is not done in due time, then it will disallow the credit for the month and will be computed as a tax liability for the month instead.</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Pr="00DD74CD" w:rsidRDefault="009977FF" w:rsidP="009977FF">
      <w:pPr>
        <w:pStyle w:val="Heading3"/>
        <w:shd w:val="clear" w:color="auto" w:fill="FFFFFF"/>
        <w:spacing w:before="0" w:beforeAutospacing="0" w:after="150" w:afterAutospacing="0" w:line="450" w:lineRule="atLeast"/>
        <w:rPr>
          <w:rFonts w:ascii="Open Sans" w:hAnsi="Open Sans" w:cs="Open Sans"/>
          <w:b w:val="0"/>
          <w:bCs w:val="0"/>
          <w:sz w:val="36"/>
          <w:szCs w:val="36"/>
        </w:rPr>
      </w:pPr>
      <w:r w:rsidRPr="00DD74CD">
        <w:rPr>
          <w:rFonts w:ascii="Open Sans" w:hAnsi="Open Sans" w:cs="Open Sans"/>
          <w:b w:val="0"/>
          <w:bCs w:val="0"/>
          <w:sz w:val="36"/>
          <w:szCs w:val="36"/>
        </w:rPr>
        <w:t>Returns to be filed by Composition Tax Payers</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GSTR-4A</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Similar to the GSTR-2A above, GSTR-4A is generated quarterly for composition scheme taxpayers. It has the details of the inward supplies as reported by suppliers in GSTR-1.</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GSTR-4</w:t>
      </w:r>
    </w:p>
    <w:p w:rsidR="009977FF" w:rsidRPr="00DD74CD" w:rsidRDefault="009977FF" w:rsidP="00913EE6">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With the auto-populated details of GSTR-4A, the taxpayer can furnish all his outward supplies here. The due date is 18th of the following month and has to be filed quarterly. It also contains the details of tax payable and payment of tax.</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lastRenderedPageBreak/>
        <w:t>GSTR-9A</w:t>
      </w:r>
    </w:p>
    <w:p w:rsidR="009977FF" w:rsidRPr="00DD74CD" w:rsidRDefault="009977FF" w:rsidP="00913EE6">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 xml:space="preserve">This is the annual return for all composition tax payers. It has to </w:t>
      </w:r>
      <w:proofErr w:type="gramStart"/>
      <w:r w:rsidRPr="00DD74CD">
        <w:rPr>
          <w:rFonts w:ascii="Open Sans" w:hAnsi="Open Sans" w:cs="Open Sans"/>
        </w:rPr>
        <w:t>filed</w:t>
      </w:r>
      <w:proofErr w:type="gramEnd"/>
      <w:r w:rsidRPr="00DD74CD">
        <w:rPr>
          <w:rFonts w:ascii="Open Sans" w:hAnsi="Open Sans" w:cs="Open Sans"/>
        </w:rPr>
        <w:t xml:space="preserve"> by 31st December of the coming financial year and includes all the quarterly returns filed by the composition tax payer.</w:t>
      </w:r>
    </w:p>
    <w:p w:rsidR="009C0A19" w:rsidRPr="00DD74CD" w:rsidRDefault="009C0A19" w:rsidP="009977FF">
      <w:pPr>
        <w:pStyle w:val="NormalWeb"/>
        <w:shd w:val="clear" w:color="auto" w:fill="FFFFFF"/>
        <w:spacing w:before="0" w:beforeAutospacing="0" w:after="150" w:afterAutospacing="0"/>
        <w:rPr>
          <w:rFonts w:ascii="Open Sans" w:hAnsi="Open Sans" w:cs="Open Sans"/>
          <w:sz w:val="23"/>
          <w:szCs w:val="23"/>
        </w:rPr>
      </w:pPr>
    </w:p>
    <w:p w:rsidR="009C0A19" w:rsidRPr="00DD74CD" w:rsidRDefault="009C0A19" w:rsidP="009977FF">
      <w:pPr>
        <w:pStyle w:val="NormalWeb"/>
        <w:shd w:val="clear" w:color="auto" w:fill="FFFFFF"/>
        <w:spacing w:before="0" w:beforeAutospacing="0" w:after="150" w:afterAutospacing="0"/>
        <w:rPr>
          <w:rFonts w:ascii="Open Sans" w:hAnsi="Open Sans" w:cs="Open Sans"/>
          <w:sz w:val="23"/>
          <w:szCs w:val="23"/>
        </w:rPr>
      </w:pPr>
    </w:p>
    <w:p w:rsidR="009977FF" w:rsidRPr="00DD74CD" w:rsidRDefault="009977FF" w:rsidP="009977FF">
      <w:pPr>
        <w:pStyle w:val="Heading3"/>
        <w:shd w:val="clear" w:color="auto" w:fill="FFFFFF"/>
        <w:spacing w:before="0" w:beforeAutospacing="0" w:after="150" w:afterAutospacing="0" w:line="450" w:lineRule="atLeast"/>
        <w:rPr>
          <w:rFonts w:ascii="Open Sans" w:hAnsi="Open Sans" w:cs="Open Sans"/>
          <w:b w:val="0"/>
          <w:bCs w:val="0"/>
          <w:sz w:val="36"/>
          <w:szCs w:val="36"/>
        </w:rPr>
      </w:pPr>
      <w:r w:rsidRPr="00DD74CD">
        <w:rPr>
          <w:rFonts w:ascii="Open Sans" w:hAnsi="Open Sans" w:cs="Open Sans"/>
          <w:b w:val="0"/>
          <w:bCs w:val="0"/>
          <w:sz w:val="36"/>
          <w:szCs w:val="36"/>
        </w:rPr>
        <w:t>Returns to be filed by Foreign Non-Resident Taxpayer</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GSTR-5</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This is a detailed form containing the particulars of outward supplies, imports, tax paid, input tax availed and remaining stock. This has to be filed monthly within 20th of the next month or if the registration is given up, then within 7 days of such surrender or expiry of registration.</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 </w:t>
      </w:r>
    </w:p>
    <w:p w:rsidR="009977FF" w:rsidRPr="00DD74CD" w:rsidRDefault="009977FF" w:rsidP="009977FF">
      <w:pPr>
        <w:pStyle w:val="Heading3"/>
        <w:shd w:val="clear" w:color="auto" w:fill="FFFFFF"/>
        <w:spacing w:before="0" w:beforeAutospacing="0" w:after="150" w:afterAutospacing="0" w:line="450" w:lineRule="atLeast"/>
        <w:rPr>
          <w:rFonts w:ascii="Open Sans" w:hAnsi="Open Sans" w:cs="Open Sans"/>
          <w:b w:val="0"/>
          <w:bCs w:val="0"/>
          <w:sz w:val="36"/>
          <w:szCs w:val="36"/>
        </w:rPr>
      </w:pPr>
      <w:r w:rsidRPr="00DD74CD">
        <w:rPr>
          <w:rFonts w:ascii="Open Sans" w:hAnsi="Open Sans" w:cs="Open Sans"/>
          <w:b w:val="0"/>
          <w:bCs w:val="0"/>
          <w:sz w:val="36"/>
          <w:szCs w:val="36"/>
        </w:rPr>
        <w:t>Returns to be filed by an Input Service Distributor</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GSTR-6A</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This form will be generated by 11th of next month after the suppliers have filed their GSTR-1 on 10th of the next month. It will be auto-populated with the details of inward supplier made to them. It has to be filed on a monthly basis by the ISD.</w:t>
      </w:r>
    </w:p>
    <w:p w:rsidR="009977FF" w:rsidRPr="00DD74CD" w:rsidRDefault="009977FF" w:rsidP="00913EE6">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GSTR-6</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Once the details are confirmed or corrected by the ISD, then GSTR-6 will be generated. It has to be filed by the ISD by 13th of the next month. This is also a monthly filing.</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Default="009977FF" w:rsidP="009977FF">
      <w:pPr>
        <w:pStyle w:val="Heading3"/>
        <w:shd w:val="clear" w:color="auto" w:fill="FFFFFF"/>
        <w:spacing w:before="0" w:beforeAutospacing="0" w:after="150" w:afterAutospacing="0" w:line="450" w:lineRule="atLeast"/>
        <w:rPr>
          <w:rFonts w:ascii="Open Sans" w:hAnsi="Open Sans" w:cs="Open Sans"/>
          <w:b w:val="0"/>
          <w:bCs w:val="0"/>
          <w:sz w:val="36"/>
          <w:szCs w:val="36"/>
        </w:rPr>
      </w:pPr>
      <w:r w:rsidRPr="00DD74CD">
        <w:rPr>
          <w:rFonts w:ascii="Open Sans" w:hAnsi="Open Sans" w:cs="Open Sans"/>
          <w:b w:val="0"/>
          <w:bCs w:val="0"/>
          <w:sz w:val="36"/>
          <w:szCs w:val="36"/>
        </w:rPr>
        <w:t xml:space="preserve">Returns to be filed by a Tax </w:t>
      </w:r>
      <w:proofErr w:type="spellStart"/>
      <w:r w:rsidRPr="00DD74CD">
        <w:rPr>
          <w:rFonts w:ascii="Open Sans" w:hAnsi="Open Sans" w:cs="Open Sans"/>
          <w:b w:val="0"/>
          <w:bCs w:val="0"/>
          <w:sz w:val="36"/>
          <w:szCs w:val="36"/>
        </w:rPr>
        <w:t>Deductor</w:t>
      </w:r>
      <w:proofErr w:type="spellEnd"/>
    </w:p>
    <w:p w:rsidR="00DD74CD" w:rsidRPr="00DD74CD" w:rsidRDefault="00DD74CD" w:rsidP="009977FF">
      <w:pPr>
        <w:pStyle w:val="Heading3"/>
        <w:shd w:val="clear" w:color="auto" w:fill="FFFFFF"/>
        <w:spacing w:before="0" w:beforeAutospacing="0" w:after="150" w:afterAutospacing="0" w:line="450" w:lineRule="atLeast"/>
        <w:rPr>
          <w:rFonts w:ascii="Open Sans" w:hAnsi="Open Sans" w:cs="Open Sans"/>
          <w:b w:val="0"/>
          <w:bCs w:val="0"/>
          <w:sz w:val="36"/>
          <w:szCs w:val="36"/>
        </w:rPr>
      </w:pP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GSTR-7</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proofErr w:type="gramStart"/>
      <w:r w:rsidRPr="00DD74CD">
        <w:rPr>
          <w:rFonts w:ascii="Open Sans" w:hAnsi="Open Sans" w:cs="Open Sans"/>
        </w:rPr>
        <w:t>Details of the tax deductions made during the month has</w:t>
      </w:r>
      <w:proofErr w:type="gramEnd"/>
      <w:r w:rsidRPr="00DD74CD">
        <w:rPr>
          <w:rFonts w:ascii="Open Sans" w:hAnsi="Open Sans" w:cs="Open Sans"/>
        </w:rPr>
        <w:t xml:space="preserve"> to be furnished here. The due date is 10th of the next month.</w:t>
      </w:r>
    </w:p>
    <w:p w:rsidR="009977FF" w:rsidRPr="00DD74CD" w:rsidRDefault="009977FF" w:rsidP="009977FF">
      <w:pPr>
        <w:pStyle w:val="NormalWeb"/>
        <w:shd w:val="clear" w:color="auto" w:fill="FFFFFF"/>
        <w:spacing w:before="0" w:beforeAutospacing="0" w:after="150" w:afterAutospacing="0"/>
        <w:rPr>
          <w:rFonts w:ascii="Open Sans" w:hAnsi="Open Sans" w:cs="Open Sans"/>
          <w:sz w:val="23"/>
          <w:szCs w:val="23"/>
        </w:rPr>
      </w:pPr>
      <w:r w:rsidRPr="00DD74CD">
        <w:rPr>
          <w:rFonts w:ascii="Open Sans" w:hAnsi="Open Sans" w:cs="Open Sans"/>
          <w:sz w:val="23"/>
          <w:szCs w:val="23"/>
        </w:rPr>
        <w:t> </w:t>
      </w: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lastRenderedPageBreak/>
        <w:t>GSTR-7A</w:t>
      </w:r>
    </w:p>
    <w:p w:rsidR="00913EE6" w:rsidRDefault="009977FF" w:rsidP="00DD74CD">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 xml:space="preserve">This is a TDS certificate, which is auto-generated upon filing the GSTR-7 by the tax </w:t>
      </w:r>
      <w:proofErr w:type="spellStart"/>
      <w:r w:rsidRPr="00DD74CD">
        <w:rPr>
          <w:rFonts w:ascii="Open Sans" w:hAnsi="Open Sans" w:cs="Open Sans"/>
        </w:rPr>
        <w:t>Deductor</w:t>
      </w:r>
      <w:proofErr w:type="spellEnd"/>
      <w:r w:rsidRPr="00DD74CD">
        <w:rPr>
          <w:rFonts w:ascii="Open Sans" w:hAnsi="Open Sans" w:cs="Open Sans"/>
        </w:rPr>
        <w:t xml:space="preserve">. It will be available for the </w:t>
      </w:r>
      <w:proofErr w:type="spellStart"/>
      <w:r w:rsidRPr="00DD74CD">
        <w:rPr>
          <w:rFonts w:ascii="Open Sans" w:hAnsi="Open Sans" w:cs="Open Sans"/>
        </w:rPr>
        <w:t>assessees</w:t>
      </w:r>
      <w:proofErr w:type="spellEnd"/>
      <w:r w:rsidRPr="00DD74CD">
        <w:rPr>
          <w:rFonts w:ascii="Open Sans" w:hAnsi="Open Sans" w:cs="Open Sans"/>
        </w:rPr>
        <w:t xml:space="preserve"> to download and keep record of. It will contain details of the tax deducted and the total amount of payment made.</w:t>
      </w:r>
    </w:p>
    <w:p w:rsidR="00DD74CD" w:rsidRPr="00DD74CD" w:rsidRDefault="00DD74CD" w:rsidP="00DD74CD">
      <w:pPr>
        <w:pStyle w:val="NormalWeb"/>
        <w:shd w:val="clear" w:color="auto" w:fill="FFFFFF"/>
        <w:spacing w:before="0" w:beforeAutospacing="0" w:after="0" w:afterAutospacing="0"/>
        <w:rPr>
          <w:rFonts w:ascii="Open Sans" w:hAnsi="Open Sans" w:cs="Open Sans"/>
          <w:sz w:val="23"/>
          <w:szCs w:val="23"/>
        </w:rPr>
      </w:pPr>
    </w:p>
    <w:p w:rsidR="009977FF" w:rsidRPr="00DD74CD" w:rsidRDefault="009977FF" w:rsidP="009977FF">
      <w:pPr>
        <w:pStyle w:val="Heading3"/>
        <w:shd w:val="clear" w:color="auto" w:fill="FFFFFF"/>
        <w:spacing w:before="0" w:beforeAutospacing="0" w:after="150" w:afterAutospacing="0" w:line="450" w:lineRule="atLeast"/>
        <w:rPr>
          <w:rFonts w:ascii="Open Sans" w:hAnsi="Open Sans" w:cs="Open Sans"/>
          <w:b w:val="0"/>
          <w:bCs w:val="0"/>
          <w:sz w:val="36"/>
          <w:szCs w:val="36"/>
        </w:rPr>
      </w:pPr>
      <w:r w:rsidRPr="00DD74CD">
        <w:rPr>
          <w:rFonts w:ascii="Open Sans" w:hAnsi="Open Sans" w:cs="Open Sans"/>
          <w:b w:val="0"/>
          <w:bCs w:val="0"/>
          <w:sz w:val="36"/>
          <w:szCs w:val="36"/>
        </w:rPr>
        <w:t>Return to be filed by an E-Commerce Portal</w:t>
      </w:r>
    </w:p>
    <w:p w:rsidR="00DD74CD" w:rsidRDefault="00DD74CD" w:rsidP="009977FF">
      <w:pPr>
        <w:pStyle w:val="Heading4"/>
        <w:shd w:val="clear" w:color="auto" w:fill="FFFFFF"/>
        <w:spacing w:before="0" w:after="150" w:line="360" w:lineRule="atLeast"/>
        <w:rPr>
          <w:rFonts w:ascii="Open Sans" w:hAnsi="Open Sans" w:cs="Open Sans"/>
          <w:b w:val="0"/>
          <w:bCs w:val="0"/>
          <w:color w:val="auto"/>
          <w:sz w:val="27"/>
          <w:szCs w:val="27"/>
        </w:rPr>
      </w:pPr>
    </w:p>
    <w:p w:rsidR="009977FF" w:rsidRPr="00DD74CD" w:rsidRDefault="009977FF" w:rsidP="009977FF">
      <w:pPr>
        <w:pStyle w:val="Heading4"/>
        <w:shd w:val="clear" w:color="auto" w:fill="FFFFFF"/>
        <w:spacing w:before="0" w:after="150" w:line="360" w:lineRule="atLeast"/>
        <w:rPr>
          <w:rFonts w:ascii="Open Sans" w:hAnsi="Open Sans" w:cs="Open Sans"/>
          <w:bCs w:val="0"/>
          <w:i w:val="0"/>
          <w:color w:val="auto"/>
          <w:sz w:val="28"/>
          <w:szCs w:val="28"/>
        </w:rPr>
      </w:pPr>
      <w:r w:rsidRPr="00DD74CD">
        <w:rPr>
          <w:rFonts w:ascii="Open Sans" w:hAnsi="Open Sans" w:cs="Open Sans"/>
          <w:bCs w:val="0"/>
          <w:i w:val="0"/>
          <w:color w:val="auto"/>
          <w:sz w:val="28"/>
          <w:szCs w:val="28"/>
        </w:rPr>
        <w:t>GSTR-8</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This return shall contain all the supplies made by the E-Commerce seller and the amount of tax collected as well. It has to be filed by 10th of the next month.</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 xml:space="preserve">For those </w:t>
      </w:r>
      <w:proofErr w:type="spellStart"/>
      <w:r w:rsidRPr="00DD74CD">
        <w:rPr>
          <w:rFonts w:ascii="Open Sans" w:hAnsi="Open Sans" w:cs="Open Sans"/>
        </w:rPr>
        <w:t>assessees</w:t>
      </w:r>
      <w:proofErr w:type="spellEnd"/>
      <w:r w:rsidRPr="00DD74CD">
        <w:rPr>
          <w:rFonts w:ascii="Open Sans" w:hAnsi="Open Sans" w:cs="Open Sans"/>
        </w:rPr>
        <w:t xml:space="preserve"> whose annual turnover exceeds INR 1 </w:t>
      </w:r>
      <w:proofErr w:type="spellStart"/>
      <w:r w:rsidRPr="00DD74CD">
        <w:rPr>
          <w:rFonts w:ascii="Open Sans" w:hAnsi="Open Sans" w:cs="Open Sans"/>
        </w:rPr>
        <w:t>Crore</w:t>
      </w:r>
      <w:proofErr w:type="spellEnd"/>
      <w:r w:rsidRPr="00DD74CD">
        <w:rPr>
          <w:rFonts w:ascii="Open Sans" w:hAnsi="Open Sans" w:cs="Open Sans"/>
        </w:rPr>
        <w:t xml:space="preserve">, </w:t>
      </w:r>
      <w:proofErr w:type="gramStart"/>
      <w:r w:rsidRPr="00DD74CD">
        <w:rPr>
          <w:rFonts w:ascii="Open Sans" w:hAnsi="Open Sans" w:cs="Open Sans"/>
        </w:rPr>
        <w:t>then</w:t>
      </w:r>
      <w:proofErr w:type="gramEnd"/>
      <w:r w:rsidRPr="00DD74CD">
        <w:rPr>
          <w:rFonts w:ascii="Open Sans" w:hAnsi="Open Sans" w:cs="Open Sans"/>
        </w:rPr>
        <w:t xml:space="preserve"> a reconciliation statement in </w:t>
      </w:r>
      <w:r w:rsidRPr="00DD74CD">
        <w:rPr>
          <w:rFonts w:ascii="Open Sans" w:hAnsi="Open Sans" w:cs="Open Sans"/>
          <w:b/>
          <w:bCs/>
        </w:rPr>
        <w:t>Form GSTR-9B</w:t>
      </w:r>
      <w:r w:rsidRPr="00DD74CD">
        <w:rPr>
          <w:rFonts w:ascii="Open Sans" w:hAnsi="Open Sans" w:cs="Open Sans"/>
        </w:rPr>
        <w:t xml:space="preserve"> has to be filed by 31st December of the next fiscal year. It has to be filed annually and is basically an audited annual </w:t>
      </w:r>
      <w:proofErr w:type="gramStart"/>
      <w:r w:rsidRPr="00DD74CD">
        <w:rPr>
          <w:rFonts w:ascii="Open Sans" w:hAnsi="Open Sans" w:cs="Open Sans"/>
        </w:rPr>
        <w:t>accounts</w:t>
      </w:r>
      <w:proofErr w:type="gramEnd"/>
      <w:r w:rsidRPr="00DD74CD">
        <w:rPr>
          <w:rFonts w:ascii="Open Sans" w:hAnsi="Open Sans" w:cs="Open Sans"/>
        </w:rPr>
        <w:t>, duly certified by competent authority.</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 xml:space="preserve">Where the </w:t>
      </w:r>
      <w:proofErr w:type="spellStart"/>
      <w:r w:rsidRPr="00DD74CD">
        <w:rPr>
          <w:rFonts w:ascii="Open Sans" w:hAnsi="Open Sans" w:cs="Open Sans"/>
        </w:rPr>
        <w:t>assessee</w:t>
      </w:r>
      <w:proofErr w:type="spellEnd"/>
      <w:r w:rsidRPr="00DD74CD">
        <w:rPr>
          <w:rFonts w:ascii="Open Sans" w:hAnsi="Open Sans" w:cs="Open Sans"/>
        </w:rPr>
        <w:t xml:space="preserve"> is a Government body or a United Nations Body, then a monthly </w:t>
      </w:r>
      <w:r w:rsidRPr="00DD74CD">
        <w:rPr>
          <w:rFonts w:ascii="Open Sans" w:hAnsi="Open Sans" w:cs="Open Sans"/>
          <w:b/>
          <w:bCs/>
        </w:rPr>
        <w:t>Form GSTR-11 </w:t>
      </w:r>
      <w:r w:rsidRPr="00DD74CD">
        <w:rPr>
          <w:rFonts w:ascii="Open Sans" w:hAnsi="Open Sans" w:cs="Open Sans"/>
        </w:rPr>
        <w:t>has to be filed by 28thof the next month. These bodies have a UIN (Unique Identification Number) and hence will be required to furnish the details of inward supplies.</w:t>
      </w: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Where a taxable person’s registration has been surrendered or cancelled, then a </w:t>
      </w:r>
      <w:r w:rsidRPr="00DD74CD">
        <w:rPr>
          <w:rFonts w:ascii="Open Sans" w:hAnsi="Open Sans" w:cs="Open Sans"/>
          <w:b/>
          <w:bCs/>
        </w:rPr>
        <w:t>final return </w:t>
      </w:r>
      <w:r w:rsidRPr="00DD74CD">
        <w:rPr>
          <w:rFonts w:ascii="Open Sans" w:hAnsi="Open Sans" w:cs="Open Sans"/>
        </w:rPr>
        <w:t>in </w:t>
      </w:r>
      <w:r w:rsidRPr="00DD74CD">
        <w:rPr>
          <w:rFonts w:ascii="Open Sans" w:hAnsi="Open Sans" w:cs="Open Sans"/>
          <w:b/>
          <w:bCs/>
        </w:rPr>
        <w:t>Form GSTR-10 </w:t>
      </w:r>
      <w:r w:rsidRPr="00DD74CD">
        <w:rPr>
          <w:rFonts w:ascii="Open Sans" w:hAnsi="Open Sans" w:cs="Open Sans"/>
        </w:rPr>
        <w:t>has to be filed within 3 months of such cancellation or registration. It will declare the input tax credit and capital goods held by the taxpayer, tax payable and paid at such time.</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The Government has automated all the forms together by bringing the same details on a real time basis in front of the taxpayers. The step, which is of paramount importance, is Step No. 1, i.e. FORM GSTR-1. It will form the basis of all further activities.</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Any shortcomings or short filings of information in the details provided by the suppliers can be rectified, changed or deleted by the recipients in ample period of time. It is a seamless process that matches all information together to get the final credit figures and tax payable, if any.</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 xml:space="preserve">The payment </w:t>
      </w:r>
      <w:proofErr w:type="spellStart"/>
      <w:r w:rsidRPr="00DD74CD">
        <w:rPr>
          <w:rFonts w:ascii="Open Sans" w:hAnsi="Open Sans" w:cs="Open Sans"/>
        </w:rPr>
        <w:t>challans</w:t>
      </w:r>
      <w:proofErr w:type="spellEnd"/>
      <w:r w:rsidRPr="00DD74CD">
        <w:rPr>
          <w:rFonts w:ascii="Open Sans" w:hAnsi="Open Sans" w:cs="Open Sans"/>
        </w:rPr>
        <w:t xml:space="preserve"> are also a very crucial part of all the filing process. Without them, it is not possible to clear tax payments and dues in due course of time and also claim credit.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 xml:space="preserve">PMT-1: </w:t>
      </w:r>
      <w:proofErr w:type="gramStart"/>
      <w:r w:rsidRPr="00DD74CD">
        <w:rPr>
          <w:rFonts w:ascii="Open Sans" w:eastAsia="Times New Roman" w:hAnsi="Open Sans" w:cs="Open Sans"/>
          <w:sz w:val="24"/>
          <w:szCs w:val="24"/>
          <w:lang w:eastAsia="en-GB"/>
        </w:rPr>
        <w:t>An online tax liability register</w:t>
      </w:r>
      <w:proofErr w:type="gramEnd"/>
      <w:r w:rsidRPr="00DD74CD">
        <w:rPr>
          <w:rFonts w:ascii="Open Sans" w:eastAsia="Times New Roman" w:hAnsi="Open Sans" w:cs="Open Sans"/>
          <w:sz w:val="24"/>
          <w:szCs w:val="24"/>
          <w:lang w:eastAsia="en-GB"/>
        </w:rPr>
        <w:t xml:space="preserve"> arising out of return or non-return related liabilities of the taxpayer.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PMT-2: Credit balance online as in GSTN</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PMT-2A: Re-credit addition to the GSTN balance of a taxpayer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lastRenderedPageBreak/>
        <w:t>PMT-3: Online cash ledger</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b/>
          <w:bCs/>
          <w:sz w:val="24"/>
          <w:szCs w:val="24"/>
          <w:lang w:eastAsia="en-GB"/>
        </w:rPr>
        <w:t>Note:</w:t>
      </w:r>
      <w:r w:rsidRPr="00DD74CD">
        <w:rPr>
          <w:rFonts w:ascii="Open Sans" w:eastAsia="Times New Roman" w:hAnsi="Open Sans" w:cs="Open Sans"/>
          <w:sz w:val="24"/>
          <w:szCs w:val="24"/>
          <w:lang w:eastAsia="en-GB"/>
        </w:rPr>
        <w:t> The above forms are maintained free of cost by the GSTN for each taxpayer. It can be accessed anytime through a User ID and Password, 24X7.</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 xml:space="preserve">PMT-4: </w:t>
      </w:r>
      <w:proofErr w:type="spellStart"/>
      <w:r w:rsidRPr="00DD74CD">
        <w:rPr>
          <w:rFonts w:ascii="Open Sans" w:eastAsia="Times New Roman" w:hAnsi="Open Sans" w:cs="Open Sans"/>
          <w:sz w:val="24"/>
          <w:szCs w:val="24"/>
          <w:lang w:eastAsia="en-GB"/>
        </w:rPr>
        <w:t>Challan</w:t>
      </w:r>
      <w:proofErr w:type="spellEnd"/>
      <w:r w:rsidRPr="00DD74CD">
        <w:rPr>
          <w:rFonts w:ascii="Open Sans" w:eastAsia="Times New Roman" w:hAnsi="Open Sans" w:cs="Open Sans"/>
          <w:sz w:val="24"/>
          <w:szCs w:val="24"/>
          <w:lang w:eastAsia="en-GB"/>
        </w:rPr>
        <w:t xml:space="preserve"> for payment of GST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PMT-5: Payment register for unregistered taxpayers</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PMT-6: Application for claiming missing credit</w:t>
      </w:r>
    </w:p>
    <w:p w:rsidR="009977FF" w:rsidRPr="00DD74CD" w:rsidRDefault="009977FF" w:rsidP="00913EE6">
      <w:pPr>
        <w:numPr>
          <w:ilvl w:val="0"/>
          <w:numId w:val="1"/>
        </w:numPr>
        <w:shd w:val="clear" w:color="auto" w:fill="FFFFFF"/>
        <w:spacing w:after="0" w:line="240" w:lineRule="auto"/>
        <w:ind w:left="300"/>
        <w:rPr>
          <w:rFonts w:ascii="Open Sans" w:eastAsia="Times New Roman" w:hAnsi="Open Sans" w:cs="Open Sans"/>
          <w:sz w:val="24"/>
          <w:szCs w:val="24"/>
          <w:lang w:eastAsia="en-GB"/>
        </w:rPr>
      </w:pPr>
      <w:r w:rsidRPr="00DD74CD">
        <w:rPr>
          <w:rFonts w:ascii="Open Sans" w:eastAsia="Times New Roman" w:hAnsi="Open Sans" w:cs="Open Sans"/>
          <w:sz w:val="24"/>
          <w:szCs w:val="24"/>
          <w:lang w:eastAsia="en-GB"/>
        </w:rPr>
        <w:t xml:space="preserve">Where it is found that there is an excess credit available in the account of a taxpayer, </w:t>
      </w:r>
      <w:proofErr w:type="gramStart"/>
      <w:r w:rsidRPr="00DD74CD">
        <w:rPr>
          <w:rFonts w:ascii="Open Sans" w:eastAsia="Times New Roman" w:hAnsi="Open Sans" w:cs="Open Sans"/>
          <w:sz w:val="24"/>
          <w:szCs w:val="24"/>
          <w:lang w:eastAsia="en-GB"/>
        </w:rPr>
        <w:t>then</w:t>
      </w:r>
      <w:proofErr w:type="gramEnd"/>
      <w:r w:rsidRPr="00DD74CD">
        <w:rPr>
          <w:rFonts w:ascii="Open Sans" w:eastAsia="Times New Roman" w:hAnsi="Open Sans" w:cs="Open Sans"/>
          <w:sz w:val="24"/>
          <w:szCs w:val="24"/>
          <w:lang w:eastAsia="en-GB"/>
        </w:rPr>
        <w:t xml:space="preserve"> the taxpayer has an option to claim refund of such excess credit within prescribed time. The refund application forms are different for the State and Central Governments.</w:t>
      </w:r>
    </w:p>
    <w:p w:rsidR="00913EE6" w:rsidRPr="00DD74CD" w:rsidRDefault="00913EE6" w:rsidP="00913EE6">
      <w:pPr>
        <w:shd w:val="clear" w:color="auto" w:fill="FFFFFF"/>
        <w:spacing w:after="0" w:line="240" w:lineRule="auto"/>
        <w:ind w:left="300"/>
        <w:rPr>
          <w:rFonts w:ascii="Open Sans" w:eastAsia="Times New Roman" w:hAnsi="Open Sans" w:cs="Open Sans"/>
          <w:sz w:val="24"/>
          <w:szCs w:val="24"/>
          <w:lang w:eastAsia="en-GB"/>
        </w:rPr>
      </w:pPr>
    </w:p>
    <w:p w:rsidR="00913EE6" w:rsidRPr="00DD74CD" w:rsidRDefault="00913EE6" w:rsidP="00913EE6">
      <w:pPr>
        <w:shd w:val="clear" w:color="auto" w:fill="FFFFFF"/>
        <w:spacing w:after="0" w:line="240" w:lineRule="auto"/>
        <w:ind w:left="300"/>
        <w:rPr>
          <w:rFonts w:ascii="Open Sans" w:eastAsia="Times New Roman" w:hAnsi="Open Sans" w:cs="Open Sans"/>
          <w:sz w:val="24"/>
          <w:szCs w:val="24"/>
          <w:lang w:eastAsia="en-GB"/>
        </w:rPr>
      </w:pPr>
    </w:p>
    <w:p w:rsidR="009977FF" w:rsidRPr="00DD74CD" w:rsidRDefault="009977FF" w:rsidP="009977FF">
      <w:pPr>
        <w:pStyle w:val="NormalWeb"/>
        <w:shd w:val="clear" w:color="auto" w:fill="FFFFFF"/>
        <w:spacing w:before="0" w:beforeAutospacing="0" w:after="0" w:afterAutospacing="0"/>
        <w:rPr>
          <w:rFonts w:ascii="Open Sans" w:hAnsi="Open Sans" w:cs="Open Sans"/>
        </w:rPr>
      </w:pPr>
      <w:r w:rsidRPr="00DD74CD">
        <w:rPr>
          <w:rFonts w:ascii="Open Sans" w:hAnsi="Open Sans" w:cs="Open Sans"/>
        </w:rPr>
        <w:t>There are 10 forms prescribed for the Central Government, out of which only 5 are applicable for the State application. The main form is </w:t>
      </w:r>
      <w:r w:rsidRPr="00DD74CD">
        <w:rPr>
          <w:rFonts w:ascii="Open Sans" w:hAnsi="Open Sans" w:cs="Open Sans"/>
          <w:b/>
          <w:bCs/>
        </w:rPr>
        <w:t>RFD-01 </w:t>
      </w:r>
      <w:r w:rsidRPr="00DD74CD">
        <w:rPr>
          <w:rFonts w:ascii="Open Sans" w:hAnsi="Open Sans" w:cs="Open Sans"/>
        </w:rPr>
        <w:t>where the application for refund is made.</w:t>
      </w:r>
    </w:p>
    <w:p w:rsidR="009977FF" w:rsidRPr="00DD74CD" w:rsidRDefault="009977FF" w:rsidP="009977FF">
      <w:pPr>
        <w:pStyle w:val="NormalWeb"/>
        <w:shd w:val="clear" w:color="auto" w:fill="FFFFFF"/>
        <w:spacing w:before="0" w:beforeAutospacing="0" w:after="150" w:afterAutospacing="0"/>
        <w:rPr>
          <w:rFonts w:ascii="Open Sans" w:hAnsi="Open Sans" w:cs="Open Sans"/>
        </w:rPr>
      </w:pPr>
      <w:r w:rsidRPr="00DD74CD">
        <w:rPr>
          <w:rFonts w:ascii="Open Sans" w:hAnsi="Open Sans" w:cs="Open Sans"/>
        </w:rPr>
        <w:t> </w:t>
      </w:r>
    </w:p>
    <w:p w:rsidR="009977FF" w:rsidRPr="00DD74CD" w:rsidRDefault="009977FF">
      <w:pPr>
        <w:rPr>
          <w:rFonts w:ascii="Open Sans" w:hAnsi="Open Sans" w:cs="Open Sans"/>
          <w:lang w:val="en-US"/>
        </w:rPr>
      </w:pPr>
    </w:p>
    <w:sectPr w:rsidR="009977FF" w:rsidRPr="00DD74CD" w:rsidSect="00FC4FC5">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B7C52"/>
    <w:multiLevelType w:val="multilevel"/>
    <w:tmpl w:val="607C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B94324"/>
    <w:multiLevelType w:val="multilevel"/>
    <w:tmpl w:val="D746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7516C1"/>
    <w:multiLevelType w:val="multilevel"/>
    <w:tmpl w:val="547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854551"/>
    <w:multiLevelType w:val="multilevel"/>
    <w:tmpl w:val="D7D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4D1517"/>
    <w:multiLevelType w:val="multilevel"/>
    <w:tmpl w:val="718A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C744A4"/>
    <w:multiLevelType w:val="multilevel"/>
    <w:tmpl w:val="02A8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A931BC"/>
    <w:multiLevelType w:val="multilevel"/>
    <w:tmpl w:val="711C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735A98"/>
    <w:multiLevelType w:val="multilevel"/>
    <w:tmpl w:val="7E84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A03D0A"/>
    <w:multiLevelType w:val="multilevel"/>
    <w:tmpl w:val="D36A3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352281"/>
    <w:multiLevelType w:val="multilevel"/>
    <w:tmpl w:val="BA5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0D1CCD"/>
    <w:multiLevelType w:val="multilevel"/>
    <w:tmpl w:val="1CAE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B30030"/>
    <w:multiLevelType w:val="multilevel"/>
    <w:tmpl w:val="A378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3"/>
  </w:num>
  <w:num w:numId="4">
    <w:abstractNumId w:val="7"/>
  </w:num>
  <w:num w:numId="5">
    <w:abstractNumId w:val="0"/>
  </w:num>
  <w:num w:numId="6">
    <w:abstractNumId w:val="5"/>
  </w:num>
  <w:num w:numId="7">
    <w:abstractNumId w:val="2"/>
  </w:num>
  <w:num w:numId="8">
    <w:abstractNumId w:val="10"/>
  </w:num>
  <w:num w:numId="9">
    <w:abstractNumId w:val="9"/>
  </w:num>
  <w:num w:numId="10">
    <w:abstractNumId w:val="1"/>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2595"/>
    <w:rsid w:val="00022AF3"/>
    <w:rsid w:val="002D4096"/>
    <w:rsid w:val="00647FEF"/>
    <w:rsid w:val="00913EE6"/>
    <w:rsid w:val="009977FF"/>
    <w:rsid w:val="009C0A19"/>
    <w:rsid w:val="00A52595"/>
    <w:rsid w:val="00AD66E8"/>
    <w:rsid w:val="00DD74CD"/>
    <w:rsid w:val="00E528E5"/>
    <w:rsid w:val="00F713D5"/>
    <w:rsid w:val="00FC4F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C5"/>
  </w:style>
  <w:style w:type="paragraph" w:styleId="Heading2">
    <w:name w:val="heading 2"/>
    <w:basedOn w:val="Normal"/>
    <w:link w:val="Heading2Char"/>
    <w:uiPriority w:val="9"/>
    <w:qFormat/>
    <w:rsid w:val="00F713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713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9977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6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D66E8"/>
    <w:rPr>
      <w:color w:val="0000FF"/>
      <w:u w:val="single"/>
    </w:rPr>
  </w:style>
  <w:style w:type="paragraph" w:styleId="BalloonText">
    <w:name w:val="Balloon Text"/>
    <w:basedOn w:val="Normal"/>
    <w:link w:val="BalloonTextChar"/>
    <w:uiPriority w:val="99"/>
    <w:semiHidden/>
    <w:unhideWhenUsed/>
    <w:rsid w:val="00AD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6E8"/>
    <w:rPr>
      <w:rFonts w:ascii="Tahoma" w:hAnsi="Tahoma" w:cs="Tahoma"/>
      <w:sz w:val="16"/>
      <w:szCs w:val="16"/>
    </w:rPr>
  </w:style>
  <w:style w:type="character" w:customStyle="1" w:styleId="Heading2Char">
    <w:name w:val="Heading 2 Char"/>
    <w:basedOn w:val="DefaultParagraphFont"/>
    <w:link w:val="Heading2"/>
    <w:uiPriority w:val="9"/>
    <w:rsid w:val="00F713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713D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713D5"/>
    <w:rPr>
      <w:b/>
      <w:bCs/>
    </w:rPr>
  </w:style>
  <w:style w:type="character" w:customStyle="1" w:styleId="Heading4Char">
    <w:name w:val="Heading 4 Char"/>
    <w:basedOn w:val="DefaultParagraphFont"/>
    <w:link w:val="Heading4"/>
    <w:uiPriority w:val="9"/>
    <w:semiHidden/>
    <w:rsid w:val="009977F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713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713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9977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6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D66E8"/>
    <w:rPr>
      <w:color w:val="0000FF"/>
      <w:u w:val="single"/>
    </w:rPr>
  </w:style>
  <w:style w:type="paragraph" w:styleId="BalloonText">
    <w:name w:val="Balloon Text"/>
    <w:basedOn w:val="Normal"/>
    <w:link w:val="BalloonTextChar"/>
    <w:uiPriority w:val="99"/>
    <w:semiHidden/>
    <w:unhideWhenUsed/>
    <w:rsid w:val="00AD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6E8"/>
    <w:rPr>
      <w:rFonts w:ascii="Tahoma" w:hAnsi="Tahoma" w:cs="Tahoma"/>
      <w:sz w:val="16"/>
      <w:szCs w:val="16"/>
    </w:rPr>
  </w:style>
  <w:style w:type="character" w:customStyle="1" w:styleId="Heading2Char">
    <w:name w:val="Heading 2 Char"/>
    <w:basedOn w:val="DefaultParagraphFont"/>
    <w:link w:val="Heading2"/>
    <w:uiPriority w:val="9"/>
    <w:rsid w:val="00F713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713D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713D5"/>
    <w:rPr>
      <w:b/>
      <w:bCs/>
    </w:rPr>
  </w:style>
  <w:style w:type="character" w:customStyle="1" w:styleId="Heading4Char">
    <w:name w:val="Heading 4 Char"/>
    <w:basedOn w:val="DefaultParagraphFont"/>
    <w:link w:val="Heading4"/>
    <w:uiPriority w:val="9"/>
    <w:semiHidden/>
    <w:rsid w:val="009977F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56065192">
      <w:bodyDiv w:val="1"/>
      <w:marLeft w:val="0"/>
      <w:marRight w:val="0"/>
      <w:marTop w:val="0"/>
      <w:marBottom w:val="0"/>
      <w:divBdr>
        <w:top w:val="none" w:sz="0" w:space="0" w:color="auto"/>
        <w:left w:val="none" w:sz="0" w:space="0" w:color="auto"/>
        <w:bottom w:val="none" w:sz="0" w:space="0" w:color="auto"/>
        <w:right w:val="none" w:sz="0" w:space="0" w:color="auto"/>
      </w:divBdr>
      <w:divsChild>
        <w:div w:id="961881798">
          <w:marLeft w:val="0"/>
          <w:marRight w:val="0"/>
          <w:marTop w:val="0"/>
          <w:marBottom w:val="0"/>
          <w:divBdr>
            <w:top w:val="none" w:sz="0" w:space="0" w:color="auto"/>
            <w:left w:val="none" w:sz="0" w:space="0" w:color="auto"/>
            <w:bottom w:val="none" w:sz="0" w:space="0" w:color="auto"/>
            <w:right w:val="none" w:sz="0" w:space="0" w:color="auto"/>
          </w:divBdr>
        </w:div>
        <w:div w:id="486629416">
          <w:marLeft w:val="0"/>
          <w:marRight w:val="0"/>
          <w:marTop w:val="150"/>
          <w:marBottom w:val="150"/>
          <w:divBdr>
            <w:top w:val="single" w:sz="6" w:space="15" w:color="CCCCCC"/>
            <w:left w:val="single" w:sz="6" w:space="15" w:color="CCCCCC"/>
            <w:bottom w:val="single" w:sz="6" w:space="15" w:color="CCCCCC"/>
            <w:right w:val="single" w:sz="6" w:space="15" w:color="CCCCCC"/>
          </w:divBdr>
        </w:div>
      </w:divsChild>
    </w:div>
    <w:div w:id="858662050">
      <w:bodyDiv w:val="1"/>
      <w:marLeft w:val="0"/>
      <w:marRight w:val="0"/>
      <w:marTop w:val="0"/>
      <w:marBottom w:val="0"/>
      <w:divBdr>
        <w:top w:val="none" w:sz="0" w:space="0" w:color="auto"/>
        <w:left w:val="none" w:sz="0" w:space="0" w:color="auto"/>
        <w:bottom w:val="none" w:sz="0" w:space="0" w:color="auto"/>
        <w:right w:val="none" w:sz="0" w:space="0" w:color="auto"/>
      </w:divBdr>
    </w:div>
    <w:div w:id="163860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tax.in/s/gstr2/" TargetMode="External"/><Relationship Id="rId13" Type="http://schemas.openxmlformats.org/officeDocument/2006/relationships/hyperlink" Target="https://cleartax.in/s/gstr-7-gst-return/" TargetMode="External"/><Relationship Id="rId18" Type="http://schemas.openxmlformats.org/officeDocument/2006/relationships/hyperlink" Target="http://www.gstn.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eartax.in/s/gstr-1/" TargetMode="External"/><Relationship Id="rId12" Type="http://schemas.openxmlformats.org/officeDocument/2006/relationships/hyperlink" Target="https://cleartax.in/s/gstr-6-gst-return/" TargetMode="External"/><Relationship Id="rId17" Type="http://schemas.openxmlformats.org/officeDocument/2006/relationships/hyperlink" Target="https://cleartax.in/s/gstr-11-uin-gst-return" TargetMode="External"/><Relationship Id="rId2" Type="http://schemas.openxmlformats.org/officeDocument/2006/relationships/styles" Target="styles.xml"/><Relationship Id="rId16" Type="http://schemas.openxmlformats.org/officeDocument/2006/relationships/hyperlink" Target="https://cleartax.in/s/gstr-10-gst-final-retur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eartax.in/gst" TargetMode="External"/><Relationship Id="rId11" Type="http://schemas.openxmlformats.org/officeDocument/2006/relationships/hyperlink" Target="https://cleartax.in/s/gst-return-gstr5/" TargetMode="External"/><Relationship Id="rId5" Type="http://schemas.openxmlformats.org/officeDocument/2006/relationships/hyperlink" Target="https://cleartax.in/gst" TargetMode="External"/><Relationship Id="rId15" Type="http://schemas.openxmlformats.org/officeDocument/2006/relationships/hyperlink" Target="https://cleartax.in/s/gstr-9-annual-return/" TargetMode="External"/><Relationship Id="rId10" Type="http://schemas.openxmlformats.org/officeDocument/2006/relationships/hyperlink" Target="https://cleartax.in/s/gstr4-composition-dealer-gst-return/" TargetMode="External"/><Relationship Id="rId19" Type="http://schemas.openxmlformats.org/officeDocument/2006/relationships/hyperlink" Target="http://www.profitbooks.net/gst-returns/" TargetMode="External"/><Relationship Id="rId4" Type="http://schemas.openxmlformats.org/officeDocument/2006/relationships/webSettings" Target="webSettings.xml"/><Relationship Id="rId9" Type="http://schemas.openxmlformats.org/officeDocument/2006/relationships/hyperlink" Target="https://cleartax.in/s/gst-return-gstr3/" TargetMode="External"/><Relationship Id="rId14" Type="http://schemas.openxmlformats.org/officeDocument/2006/relationships/hyperlink" Target="https://cleartax.in/s/gstr-8-gst-return/"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9</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dc:creator>
  <cp:keywords/>
  <dc:description/>
  <cp:lastModifiedBy>HP</cp:lastModifiedBy>
  <cp:revision>9</cp:revision>
  <dcterms:created xsi:type="dcterms:W3CDTF">2017-07-12T06:34:00Z</dcterms:created>
  <dcterms:modified xsi:type="dcterms:W3CDTF">2017-07-17T11:21:00Z</dcterms:modified>
</cp:coreProperties>
</file>